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140</w:t>
      </w:r>
    </w:p>
    <w:p>
      <w:r>
        <w:t>Bundesgericht (BGE), 1982-04-26, FR</w:t>
      </w:r>
    </w:p>
    <w:p>
      <w:r>
        <w:rPr>
          <w:b/>
        </w:rPr>
        <w:t xml:space="preserve">Quelle: </w:t>
      </w:r>
      <w:r>
        <w:t>https://mcp.opencaselaw.ch/entscheid/bge_108 II 140</w:t>
      </w:r>
    </w:p>
    <w:p>
      <w:r>
        <w:t>FR: ATF 108 II 140</w:t>
      </w:r>
    </w:p>
    <w:p>
      <w:r>
        <w:t>IT: DTF 108 II 140</w:t>
      </w:r>
    </w:p>
    <w:p>
      <w:pPr>
        <w:pStyle w:val="Heading2"/>
      </w:pPr>
      <w:r>
        <w:t>Regeste</w:t>
      </w:r>
    </w:p>
    <w:p>
      <w:r>
        <w:t>Regeste Mitteilung einer Änderung des Mietvertrages gemäss Art. 20 BMM, wonach der Mieter eine neue Abgabe für die Kehrichtabfuhr als Nebenkosten zu tragen hat. Es ist willkürlich, über die Berechtigung dieser neuen Forderung des Vermieters zu urteilen, ohne dem Mieter Gelegenheit zu geben darzulegen, dass diese Kostenerhöhung durch die Senkung verschiedener anderer Kosten ausgeglichen wird.</w:t>
      </w:r>
    </w:p>
    <w:p>
      <w:pPr>
        <w:pStyle w:val="Heading2"/>
      </w:pPr>
      <w:r>
        <w:t>Erwägungen</w:t>
      </w:r>
    </w:p>
    <w:p>
      <w:r>
        <w:rPr>
          <w:b/>
        </w:rPr>
        <w:t>E. 1</w:t>
      </w:r>
    </w:p>
    <w:p>
      <w:r>
        <w:t>(Irrecevabilité de conclusions qui vont au-delà de l'annulation de l'acte attaqué.) BGE 108 II 140 S. 142</w:t>
      </w:r>
    </w:p>
    <w:p>
      <w:r>
        <w:rPr>
          <w:b/>
        </w:rPr>
        <w:t>E. 2</w:t>
      </w:r>
    </w:p>
    <w:p>
      <w:r>
        <w:t>L'introduction d'une taxe assise sur les immeubles, qui n'est pas compensée par l'octroi d'avantages nouveaux, représente pour le propriétaire un accroissement de ses charges. Il peut en principe s'en prévaloir pour demander une hausse correspondante de ses loyers, selon l' art. 15 al. 1 lettre b AMSL , ou pour introduire dans le bail une clause mettant la taxe à la charge de ses locataires à titre de frais accessoires. Le propriétaire qui choisit de reporter la taxe nouvelle par une augmentation de loyer doit se laisser opposer d'éventuels facteurs de baisse, qui peuvent compenser tout ou partie de la hausse demandée ( ATF 106 II 356 ss). La Cour cantonale estime que tel n'est en revanche pas le cas lorsque le propriétaire choisit d'introduire une clause mettant la taxe nouvelle à la charge du locataire, à titre de frais accessoires. Le recourant, qui affirme avoir allégué et prouvé l'existence de facteurs de baisse, tient ce point de vue pour arbitraire. Les parties à un contrat de bail ne sauraient mettre en cause le montant de leur loyer à l'occasion de chacun des comptes périodiques établis pour les charges qu'elles sont convenues de traiter comme frais accessoires. Elles peuvent toutefois le faire lors de l'introduction d'une clause qui fait supporter au preneur, à titre des frais accessoires, des charges qui eussent incombé au bailleur de par la loi. Une telle clause entraîne en effet une augmentation de l'ensemble des prestations dues par le preneur, à moins qu'elle ne soit compensée par une baisse équivalente du loyer proprement dit, et elle peut donc être assimilée à une hausse de loyer. Partant, il est impossible d'apprécier si cette aggravation de la position du locataire représente un abus sans prendre en considération l'ensemble et des facteurs de hausse et des facteurs de baisse. On aboutirait sinon à privilégier, sans aucune raison, le propriétaire qui reporte directement une taxe nouvelle sur ses locataires, en la traitant comme frais accessoires, par rapport à celui qui ne ferait que l'invoquer pour demander une augmentation de loyer proprement dite. La solution retenue par la Cour cantonale apparaît dès lors incompatible avec l'esprit de la loi. Elle heurte, de plus, le sentiment de la justice et de l'équité. Elle permettrait au bailleur d'invoquer des charges nouvelles pour élever des prétentions accrues, sans avoir à se laisser opposer les allégements dont il a pu bénéficier par ailleurs. Elle fonderait l'aggravation de la position du locataire sur un accroissement des charges du propriétaire, alors que l'ensemble de ces charges pourrait n'avoir BGE 108 II 140 S. 143 pas augmenté, voire avoir diminué. On ne saurait, au demeurant, renvoyer le locataire à faire valoir les facteurs de baisse dans une instance indépendante introduite en conformité de l' art. 19 AMSL . Il n'a en principe aucune raison de solliciter une baisse tant que le propriétaire accepte de supporter lui-même des taxes nouvelles qui compensent la réduction de certains autres de ses frais. Et lorsque le propriétaire demande l'introduction d'une clause mettant ces taxes à la charge du locataire, à titre de frais accessoires, ce dernier peut avoir, sans sa faute, laissé passer le délai pour solliciter une baisse de loyer correspondante, prenant effet à la même date ( ATF 107 II 260 ss). Arbitraire dans la mesure où elle dénie au recourant le droit d'opposer des facteurs de baisse de loyer aux prétentions nouvelles de l'intimée, la décision attaquée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